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32"/>
          <w:szCs w:val="32"/>
        </w:rPr>
      </w:pPr>
      <w:r>
        <w:rPr>
          <w:rFonts w:ascii="GillSansStd-Bold" w:hAnsi="GillSansStd-Bold" w:cs="GillSansStd-Bold"/>
          <w:b/>
          <w:bCs/>
          <w:sz w:val="32"/>
          <w:szCs w:val="32"/>
        </w:rPr>
        <w:t>Workplace Engagement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32"/>
          <w:szCs w:val="32"/>
        </w:rPr>
      </w:pPr>
      <w:r>
        <w:rPr>
          <w:rFonts w:ascii="GillSansStd-Bold" w:hAnsi="GillSansStd-Bold" w:cs="GillSansStd-Bold"/>
          <w:b/>
          <w:bCs/>
          <w:sz w:val="32"/>
          <w:szCs w:val="32"/>
        </w:rPr>
        <w:t>and Generational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32"/>
          <w:szCs w:val="32"/>
        </w:rPr>
      </w:pPr>
      <w:r>
        <w:rPr>
          <w:rFonts w:ascii="GillSansStd-Bold" w:hAnsi="GillSansStd-Bold" w:cs="GillSansStd-Bold"/>
          <w:b/>
          <w:bCs/>
          <w:sz w:val="32"/>
          <w:szCs w:val="32"/>
        </w:rPr>
        <w:t>Differences in Values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16"/>
          <w:szCs w:val="16"/>
        </w:rPr>
      </w:pPr>
      <w:r>
        <w:rPr>
          <w:rFonts w:ascii="GillSansStd-Bold" w:hAnsi="GillSansStd-Bold" w:cs="GillSansStd-Bold"/>
          <w:b/>
          <w:bCs/>
          <w:sz w:val="24"/>
          <w:szCs w:val="24"/>
        </w:rPr>
        <w:t>Nancy M. Schullery</w:t>
      </w:r>
      <w:r>
        <w:rPr>
          <w:rFonts w:ascii="GillSansStd-Bold" w:hAnsi="GillSansStd-Bold" w:cs="GillSansStd-Bold"/>
          <w:b/>
          <w:bCs/>
          <w:sz w:val="16"/>
          <w:szCs w:val="16"/>
        </w:rPr>
        <w:t>1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0"/>
          <w:szCs w:val="20"/>
        </w:rPr>
      </w:pPr>
      <w:r>
        <w:rPr>
          <w:rFonts w:ascii="GillSansStd-Bold" w:hAnsi="GillSansStd-Bold" w:cs="GillSansStd-Bold"/>
          <w:b/>
          <w:bCs/>
          <w:sz w:val="20"/>
          <w:szCs w:val="20"/>
        </w:rPr>
        <w:t>Abstract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>This article summarizes literature on workplace engagement, an issue that affects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>organizations’ financial results and individuals’ personal lives. The newest of the four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>generations in the workplace, Millennials, were recently shown to have different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>values than the other two prevalent generations. Surveys taken by 16,000 high school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>seniors of three generations on intrinsic, extrinsic, social, leisure, and altruistic values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>at work show only the altruistic value is not statistically different. When aggregated,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>these generational differences have noticeable practical impact. In the classroom,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>engagement is essential to learning. Examples of engaging activities that address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>Millennials’ values are provided.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0"/>
          <w:szCs w:val="20"/>
        </w:rPr>
      </w:pPr>
      <w:r>
        <w:rPr>
          <w:rFonts w:ascii="GillSansStd-Bold" w:hAnsi="GillSansStd-Bold" w:cs="GillSansStd-Bold"/>
          <w:b/>
          <w:bCs/>
          <w:sz w:val="20"/>
          <w:szCs w:val="20"/>
        </w:rPr>
        <w:t>Keywords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>business practices, corporate training, student expectations, learner-centered, pedagogy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This article provides a survey of the literature on workplace engagement, and explains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how the values of the newest generation in the workforce, the Millennials, differ from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previous generations. These value differences may diminish the effectiveness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employers’ efforts to increase engagement, similar to the way differing values also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may reduce our own effectiveness in the classroom.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Information on engagement in the workplace is of interest to </w:t>
      </w: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Business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Communication Quarterly </w:t>
      </w:r>
      <w:r>
        <w:rPr>
          <w:rFonts w:ascii="TimesNewRomanPSMT" w:hAnsi="TimesNewRomanPSMT" w:cs="TimesNewRomanPSMT"/>
          <w:sz w:val="20"/>
          <w:szCs w:val="20"/>
        </w:rPr>
        <w:t>readers for three reasons: First, we teach audience analysis,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for which an understanding of how these differing perspectives developed is helpful.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Second, as we increasingly teach online classes with diverse audiences, our own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Italic" w:hAnsi="GillSansStd-Italic" w:cs="GillSansStd-Italic"/>
          <w:i/>
          <w:iCs/>
          <w:sz w:val="20"/>
          <w:szCs w:val="20"/>
        </w:rPr>
      </w:pPr>
      <w:r>
        <w:rPr>
          <w:rFonts w:ascii="GillSansStd-Italic" w:hAnsi="GillSansStd-Italic" w:cs="GillSansStd-Italic"/>
          <w:i/>
          <w:iCs/>
          <w:sz w:val="20"/>
          <w:szCs w:val="20"/>
        </w:rPr>
        <w:t>Engaging Employees and Students in the Workplace and Classroom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-Italic" w:hAnsi="GillSansStd-Italic" w:cs="GillSansStd-Italic"/>
          <w:i/>
          <w:iCs/>
          <w:sz w:val="20"/>
          <w:szCs w:val="20"/>
        </w:rPr>
        <w:t xml:space="preserve">Engaging Employees and Students in the Workplace and Classroom </w:t>
      </w:r>
      <w:r>
        <w:rPr>
          <w:rFonts w:ascii="GillSansStd" w:hAnsi="GillSansStd" w:cs="GillSansStd"/>
          <w:sz w:val="20"/>
          <w:szCs w:val="20"/>
        </w:rPr>
        <w:t>253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classes may include multiple generations. Third, as we consult with organizations, we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may find that they are using the same erroneous strategies as those discussed here. An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exploration of employees’ underlying values can illuminate more effective approaches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toward engagement.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Other parallels exist. In the workplace, four generations may work side by side,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similar to the presence of multiple generations in our online classes. Classroom teachers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rise to similar challenges as do workplace practitioners, who are charged with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increasing employee engagement in ways that are perceived as fair and equally appealing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all employees, while meeting their diverse needs, interests, and values. Both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universities and organizations have invested substantial resources to recruit, retain,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and engage the Millennials, yet overall workplace engagement continues at dismal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levels. Many of the attempts to engage employees to be discussed here may have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fallen short due to unrecognized differences in generational values, which will be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explained. I will close with suggestions from the literature on how the Millennials’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distinct value preferences might be addressed in the classroom.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four generations currently in the workplace include the Silent Generation, also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known as Traditionalists (1925-1945); Baby Boomers (1946-1964); Generation X or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GenX (1965-1981); and the Millennials (1982-1999). The latter are also known as Net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Gen, Gen Y, GenerationMe, Gen Net, and Digital Natives. A generation is typically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described as having been born within a specified range of birth years. Smith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Clurman (1998) argued that those within a generation share “the life experiences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their formative years” (p. 3). They include life experiences such as pop culture, economic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conditions, world events, natural disasters, and technology. However, consistent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birth years among researchers are generally agreed for only the first two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generations, Silents and Boomers. The first birth year for GenX, according to the great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majority of researchers cited in this article is either 1964 or 1965, with a generally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accepted end date for this generation of 1980 or 1981. Consistent birth years for both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lastRenderedPageBreak/>
        <w:t>GenX and the Millennials are likely to become firmer with time. Today, however,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first year of Millennials’ birth varies from about 1977 to 1982, with the narrower range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of 1980-1981 used by most researchers shown here. Given the end date of 1981 for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GenXers, I have adopted the birth year of 1982 for Millennials. Such slight variations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are typically not an issue across the large samples discussed here because those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born in adjacent birth years are regarded as having been very close to the same shared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defining experiences (Parry &amp; Urwin, 2010). Therefore, the data presented in this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article may be deemed comparable, as generational changes are generally understood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describe gradual but steady changes over time “rather than sudden shifts at birth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year cutoffs” (Twenge, Campbell, Hoffman, &amp; Lance, 2010, p. 1120).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forces that influence and form these distinct generational cohorts are thought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be strongest during childhood and early adolescence (Twenge et al., 2010). Boomers,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for example, are said to have been shaped by the advent of television. In 1950, only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12% of American households had televisions. Eight years later, 83% had at least one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(Tapscott, 2009). Traditionally structured families gathered around the television, as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Silent Generation had gathered around the radio. Boomers saw as well as heard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Italic" w:hAnsi="GillSansStd-Italic" w:cs="GillSansStd-Italic"/>
          <w:i/>
          <w:iCs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 xml:space="preserve">254 </w:t>
      </w:r>
      <w:r>
        <w:rPr>
          <w:rFonts w:ascii="GillSansStd-Italic" w:hAnsi="GillSansStd-Italic" w:cs="GillSansStd-Italic"/>
          <w:i/>
          <w:iCs/>
          <w:sz w:val="20"/>
          <w:szCs w:val="20"/>
        </w:rPr>
        <w:t>Business Communication Quarterly 76(2)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civil rights movement, the women’s movement, nightly protests against U.S. actions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 Vietnam, and the assassinations of John F. Kennedy; his brother, Robert Kennedy;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and the Rev. Martin Luther King Jr. (Tapscott, 2009).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GenX children were not as likely to gather with family around the television, as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families were increasingly likely to be composed of single parents facing workplace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demands, or dual-income earners who alternated child-care responsibilities. GenX-ers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were the first “latchkey” kids, who let themselves into the house after school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watched television unsupervised until a caregiver (usually mom) came home. This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generation grew up with Sesame Street, learned about AIDS as it became an epidemic,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and watched the Berlin Wall fall (Twenge et al., 2010). Despite a marked decline 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birth rate in the 1970s that resulted in a 15% decline in the number of GenXers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(Tapscott, 2009), they, unlike the Boomers, were confronted with high unemployment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and keen competition for jobs, as the Boomers had filled most positions. The economic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difficulties were compounded with the layoffs and corporate downsizings of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recessionary early 1980s.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As the economy recovered, so did the birth rate, bringing a second boom with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arrival of the Millennials. Televisions moved to the background, as computers now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made information available 24/7 for this generation. By 1994, 35% of schools provided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access to the Internet in school (Tapscott, 2009). In 2003, Oblinger reported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survey results showing that 94% of 12- to 17-year-olds used the Internet for research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on school assignments, and 78% thought the Internet useful for school work. Computers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informed people of the Exxon Valdez oil spill, the Gulf War, and the scandal-ridden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downfall of major corporations (Tapscott, 2009; Twenge et al., 2010). Such national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events as Columbine in 1999 and several child kidnappings led to a cultural shift from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 lack of supervision to the opposite extreme, where parents became overly involved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 their children’s lives (Tulgan, 2009). Parents attempted to protect their children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from not only life-threatening events but also ego-damaging occurrences, such as failing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grades. Children’s self-esteem was continually nurtured with praise (Tapscott,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2009). Rather than exploring the out-of-doors, protected children played indoors 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video games, an interactive experience in which they experientially learned what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actions were successful to increase their scores or vanquish an opponent, lessons that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were immediately reinforced. Recent research has led to the hypothesis that children’s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brains stimulated by digital technology may differ in both physical structure and function,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especially if the stimulation occurs during critical periods of brain development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such as early childhood and adolescence (Tapscott, 2009). Specific examples of differences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include the ability to process fast-moving images more quickly and the ability to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“access, sort, categorize, and remember” information well (Tapscott, 2009, p. 30).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 few authors have taken issue with the concept of a generation and inherent differences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(Parry &amp; Urwin, 2010; Trzesniewski &amp; Donnellan, 2010). However, the concept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lastRenderedPageBreak/>
        <w:t>has been generally well received in the popular literature and accepted among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employers (Alsop, 2008; Gilbert, 2011; Howe &amp; Strauss, 2000; Sahoo &amp; Sahu, 2009;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Tapscott, 2009; Tulgan, 2009). An understanding of generations is now broadly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accepted as a resource for the classroom (Hartman &amp; McCambridge, 2011; Kassing,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-Italic" w:hAnsi="GillSansStd-Italic" w:cs="GillSansStd-Italic"/>
          <w:i/>
          <w:iCs/>
          <w:sz w:val="20"/>
          <w:szCs w:val="20"/>
        </w:rPr>
        <w:t xml:space="preserve">Engaging Employees and Students in the Workplace and Classroom </w:t>
      </w:r>
      <w:r>
        <w:rPr>
          <w:rFonts w:ascii="GillSansStd" w:hAnsi="GillSansStd" w:cs="GillSansStd"/>
          <w:sz w:val="20"/>
          <w:szCs w:val="20"/>
        </w:rPr>
        <w:t>255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Piemonte, Goman, &amp; Mitchell, 2012; Taylor, 2010). The final frontier, academic theory,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appears also to be accepting generational differences as the evidence continues to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grow (Fairlie, 2011; Shuck, 2011; Twenge et al., 2010).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4"/>
          <w:szCs w:val="24"/>
        </w:rPr>
      </w:pPr>
      <w:r>
        <w:rPr>
          <w:rFonts w:ascii="GillSansStd-Bold" w:hAnsi="GillSansStd-Bold" w:cs="GillSansStd-Bold"/>
          <w:b/>
          <w:bCs/>
          <w:sz w:val="24"/>
          <w:szCs w:val="24"/>
        </w:rPr>
        <w:t>Engagement Definitions and Benefits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 key fact emerging from the breadth of literature on workplace engagement is that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researchers have developed numerous definitions. This article will emphasize definitions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from the academic literature, as practitioner definitions vary by organization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(BlessingWhite, Inc., 2011). Typically, employer definitions include components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commitment, work ethic, loyalty, and satisfaction; the result is often a confounding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variables (Shuck, 2011). An example is consultant researchers BlessingWhite, Inc.’ 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(2011) own assertion that employees “need to find purpose and satisfaction” in work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(p. 5). Thus, the firm’s model of engagement includes both the employee’s contribution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the company and the personal satisfaction the individual derives; the firm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insists that the two should be in “alignment” (p. 5). Academic definitions tend to parse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components and proceed in multiple directions. The exact definition will be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quoted to avoid any misinterpretations due to semantics.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seminal academic definition developed by Kahn (1990) identifies engagement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as “the harnessing” of the self to one’s role at work. The self is expressed “physically,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cognitively, and emotionally . . .” (Kahn, 1990, p. 694). Later authors described work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engagement as exceeding both basic motivation and work ethic. Instead, Schaufeli,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Martinez, Marques Pinto, Salanova, and Bakker (2002) termed it a “positive, fulfilling,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and work-related state of mind . . .” (p. 465). The state of mind terminology suggests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that engagement is the outcome of many variables over a period of time. Macey,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Schneider, Barbera, and Young’s (2009) definition is consistent in that engaged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employees choose to work harder. Their engaged employees “are [those who are]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more </w:t>
      </w: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likely to </w:t>
      </w:r>
      <w:r>
        <w:rPr>
          <w:rFonts w:ascii="TimesNewRomanPSMT" w:hAnsi="TimesNewRomanPSMT" w:cs="TimesNewRomanPSMT"/>
          <w:sz w:val="20"/>
          <w:szCs w:val="20"/>
        </w:rPr>
        <w:t>[italics added] work harder through increased levels of discretionary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effort” (as cited in Bakker, 2011, p. 265).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Shuck (2011) provides an in-depth academic literature review, in which he categorizes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breadth of definitions according to four perspectives. Shuck contrasts Kahn’s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(1990) need-satisfying framework; Maslach, Shaufeli, and Leiter’s (2001) antithesis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of burnout; Harter, Schmidt, and Hayes’s (2010) satisfaction-engagement notion;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Saks’s (2006) multidimensional approach. Bakker (2011), who espouses the antithesis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of burnout approach, claims that “arguably the most often used definition of work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engagement” (p. 265) is that of Schaufeli and Bakker (2004), who find engagement to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be “a positive, fulfilling, work-related state of mind that is characterized by vigor,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dedication, and absorption” (p. 295). In this definition, vigor requires both high energy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and “mental resilience” at work (Bakker, 2011, p. 265). Such mental resilience might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also be termed “persistence when facing difficulties” (Kassing et al., 2012, p. 241).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Many of us can relate to the need for persistence. Dedication requires not only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strong involvement we would expect but also reward for the employee who experiences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“a sense of significance, enthusiasm, and challenge” (Bakker, 2011, p. 265).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Italic" w:hAnsi="GillSansStd-Italic" w:cs="GillSansStd-Italic"/>
          <w:i/>
          <w:iCs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 xml:space="preserve">256 </w:t>
      </w:r>
      <w:r>
        <w:rPr>
          <w:rFonts w:ascii="GillSansStd-Italic" w:hAnsi="GillSansStd-Italic" w:cs="GillSansStd-Italic"/>
          <w:i/>
          <w:iCs/>
          <w:sz w:val="20"/>
          <w:szCs w:val="20"/>
        </w:rPr>
        <w:t>Business Communication Quarterly 76(2)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Finally, absorption is reserved for those who are “happily engrossed” in their work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(Bakker, 2011, p. 265). Although we can see a common thread here, consensus on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specifics of a satisfactory definition has eluded both academics and practitioners.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Practitioners’ definitions also vary by organization (BlessingWhite, Inc., 2011);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however, employers commonly strive to increase their employees’ engagement,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which is reputed to have multiple, far-reaching benefits (Kumar &amp; Sia, 2012; Sahoo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&amp; Sahu, 2009). Quantifiable benefits include increased net revenue (22%), improved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earnings before taxes (43%), reduced team member turnover (19%), and lower workers’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compensation claims (27%; Williams, 2010). Hewitt Associates found “highengagement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lastRenderedPageBreak/>
        <w:t>firms” reported a 19% higher total shareholder return than average 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2009 (as cited by BlessingWhite, Inc., 2011, p. 7). In addition, high engagement has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been linked with improved employee retention, product quality, and improved customer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service, resulting in increased customer satisfaction and loyalty. The benefits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have further payoff with increased employee loyalty and advocacy on the firm’s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behalf (Kumar &amp; Sia, 2012).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4"/>
          <w:szCs w:val="24"/>
        </w:rPr>
      </w:pPr>
      <w:r>
        <w:rPr>
          <w:rFonts w:ascii="GillSansStd-Bold" w:hAnsi="GillSansStd-Bold" w:cs="GillSansStd-Bold"/>
          <w:b/>
          <w:bCs/>
          <w:sz w:val="24"/>
          <w:szCs w:val="24"/>
        </w:rPr>
        <w:t>Employers’ Attempts to Increase Engagement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For employers to achieve the benefits of employee engagement, it is necessary to have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 understanding of the “drivers” that increase engagement, and the opposing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“threats” or perceived reductions in the driver that would diminish engagement (as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discussed below). Such threats jeopardized subject firms’ performance in 2009, as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measured by total shareholder return, to 44% </w:t>
      </w: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below </w:t>
      </w:r>
      <w:r>
        <w:rPr>
          <w:rFonts w:ascii="TimesNewRomanPSMT" w:hAnsi="TimesNewRomanPSMT" w:cs="TimesNewRomanPSMT"/>
          <w:sz w:val="20"/>
          <w:szCs w:val="20"/>
        </w:rPr>
        <w:t>average (BlessingWhite, Inc.,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2011). The variables assessed to determine engagement levels are not totally controllable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by either employer or employee, as interactions with colleagues and supervisors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are part of the dynamic. However, in one study of 6,500 managers across six companies,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researchers found the most important engagement drivers were the employee’s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relationship with the immediate supervisor responsible for “managing [the employee’s]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performance” and the employees’ own “career opportunities” for advancement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 the company (Gilbert, 2011, p. 2). In fact, “managing performance” (Gilbert, 2011,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p. 2) was the most frequent engagement driver. This indicator refers to Millennials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getting immediate, frequent, and direct feedback on their job performance. Just as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managing performance can enhance engagement, so too can poor supervisory management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damage employees’ engagement. The most important threat to engagement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was “employer reputation,” which could diminish an employee’s pride in the company.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Accurate information on drivers and threats to engagement is vital, as human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resource departments then can design interventions to increase the drivers and attempt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reduce the threats, thus presumably also increasing benefits to the organization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(Bakker, 2011).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Interventions to improve the drivers of engagement may be considered necessary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due to a worldwide average engagement level of only 31% (BlessingWhite, Inc.,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2011), only slightly better than Gebauer and Lowman’s (2008) finding of worldwide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engagement levels at about 20% of the global workforce. In the more recent data,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-Italic" w:hAnsi="GillSansStd-Italic" w:cs="GillSansStd-Italic"/>
          <w:i/>
          <w:iCs/>
          <w:sz w:val="20"/>
          <w:szCs w:val="20"/>
        </w:rPr>
        <w:t xml:space="preserve">Engaging Employees and Students in the Workplace and Classroom </w:t>
      </w:r>
      <w:r>
        <w:rPr>
          <w:rFonts w:ascii="GillSansStd" w:hAnsi="GillSansStd" w:cs="GillSansStd"/>
          <w:sz w:val="20"/>
          <w:szCs w:val="20"/>
        </w:rPr>
        <w:t>257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BlessingWhite, Inc. (2011) found specific engagement levels varied from a high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37% in India to a low of 17% in China. North America follows Australia with engagement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levels of 33% and 36%, respectively, with Europe (30%) and Southeast Asia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(26%) completing the areas assessed. In addition to geographic differences in engagement,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BlessingWhite, Inc. also identified generational differences, using Millennials’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birth years as 1978-1994.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North America may be unique in having generations in the workplace that differ 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their numerical proportions, as some other locations, notably Japan and Western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Europe, did not experience a baby boom after World War II (Tapscott, 2009). Of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four generations BlessingWhite, Inc. studied in North America, the Boomers emerged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as the most engaged (39%), followed by GenXers at 35%, Millennials at 16%, and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Silent Generation at a mere 10% (BlessingWhite, Inc., 2011). In general, engagement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correlated with rank, length of time employed in the organization, and with departments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“closer to clients” (BlessingWhite, Inc., 2011, p. 10). Boomers at the peak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their careers might be expected to be most engaged. The issue is how to increase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engagement of other generations, especially the newest entrants to the workforce,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Millennials, who have a reputation for expecting inflated salaries, quick advancement,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and work they enjoy. They find that many entry-level tasks fail to meet their standards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for challenging, meaningful tasks (Tulgan, 2009), a possible explanation for their low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engagement.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Responding to this issue of engagement is a challenge that practitioners are under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increasing pressure to meet, due to the necessity of replacing the soon-to-retire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Traditionalists and Baby Boomers. The first of the 75 million Baby Boomers (Tapscott,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lastRenderedPageBreak/>
        <w:t>2009) turned 66 years of age in 2012. The generation that followed, GenX, cannot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alone fill the vacant positions due to being 15% less populous than the Baby Boomers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(Tapscott, 2009). However, the Millennials (born since 1982) are a growing segment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of the workforce that already exceeds the Baby Boomers, previously the largest generation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ever (Tapscott, 2009). Engagement of the younger generations is crucial for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employers who wish to gain and retain the best and the brightest of this large group.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Interventions have been tried before. Since at least the late 20th century, HR departments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have sponsored a variety of efforts to increase engagement levels among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GenXers, the workforce’s then-newest entrants. Employers attempted to lure top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recruits at that time with “fun” in the workplace (Bakke, 2005; Gavin &amp; Mason, 2004;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Schullery, 2005).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However, Millennials pose challenges beyond those presented by the GenXers, due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the former’s high self-esteem and high expectations (Tulgan, 2009). Combined with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Millennials’ reluctance to give whole-hearted effort to anything they find less-thanmeaningful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work, the cohort has gained a reputation as “entitled,” (Alsop, 2008, p. 24)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rather than as willing to work their way up. Thus, engaging the Millennials is critical, not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only to enjoy the benefits noted above but also to avoid increased turnover, as Millennials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are thought to job-hop if not engaged (Alsop, 2008; Hartman &amp; McCambridge, 2011).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According to Tapscott (2009), employers who have been successful in attracting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youngest generation realize that “for Net Gen-ers [Millennials], work should be fun. Net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Gen-ers see no clear dividing line between the two” (p. 92).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Italic" w:hAnsi="GillSansStd-Italic" w:cs="GillSansStd-Italic"/>
          <w:i/>
          <w:iCs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 xml:space="preserve">258 </w:t>
      </w:r>
      <w:r>
        <w:rPr>
          <w:rFonts w:ascii="GillSansStd-Italic" w:hAnsi="GillSansStd-Italic" w:cs="GillSansStd-Italic"/>
          <w:i/>
          <w:iCs/>
          <w:sz w:val="20"/>
          <w:szCs w:val="20"/>
        </w:rPr>
        <w:t>Business Communication Quarterly 76(2)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Recent examples of employers’ efforts to engage their employees include Google’s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provision of pool tables and a baby grand piano, and allowance for roller hockey in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parking lot (Alsop, 2008). Google has also provided a rock-climbing wall on site, a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company pool, and a beach volleyball pit (Tapscott, 2009). Others have reported amenities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such as meditation rooms at eBay, and as much as 5 weeks time off in an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employee’s first year at KPMG (Twenge et al., 2010). To attract the most talented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recruits Microsoft can find to its campus headquarters near Seattle, Washington,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company offers a private lake, 25 cafeterias, football, baseball, soccer, and volleyball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(Tapscott, 2009). The quantifiable success of these interventions is unknown, due to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use of privately controlled assessment instruments and the proprietary nature of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data found. In general, as the number of companies offering “fun” has increased, we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can conclude that management believes that offering fun in the workplace is a successful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strategy toward improved engagement of Millennials. However, a 16% engagement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rate among Millennials (BlessingWhite, Inc., 2011) suggests fun is not the final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answer. And, an additional downside exists.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Special amenities for Millennials have sometimes raised the ire of older generations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who were not so favored and find the perceived inconsistency unfair (Tulgan,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2009). In addition, anecdotal reports of these interventions toward improved engagement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of the youngest generation have raised debate as to whether such efforts are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worthwhile and needed, or whether this generation simply sees themselves as “entitled”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(Alsop, 2008, p. 24). One way employers have tried to balance benefits to older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workers is by developing two-way mentoring plans (Meister &amp; Willyerd, 2010).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employer, recognizing the Millennial’s prowess with technology, pairs the younger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employee with a more experienced worker. The older employee provides a proverbial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wing to shelter the new arrival and guide the individual through the organizational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context toward success (Meister &amp; Willyerd, 2010). In turn, the Millennials share their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technological expertise with the older employees, who may be struggling to unlearn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old habits and embrace new productivity tools. These matches are often beneficial to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both parties and to the employer, which gains two energized employees.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Meeting Millennials’ demands for work they enjoy and providing unlimited “fun”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shows a lack of leadership, in Tulgan’s view (2009, p. 16). He instead advises strong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leadership and commitment to “high-maintenance management” (Tulgan, 2009, p. 17) to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provide, not what Millennials want, but what they need. According to Tulgan (2009),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managers should insist that Millennials meet the organization’s standards, while meeting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lastRenderedPageBreak/>
        <w:t>Millennials’ desire for work that is engaging: “They want to learn, to be challenged,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understand the relationship between their work and the overall mission of the organization.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They want . . . some flexibility in where, when, and how they work” (Tulgan, 2009,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p. 13). Managers who “guide, direct, and support them every step of the way” will be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rewarded, he says, with exceptionally high performance from this newest workforce.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provide the best guidance for the Millennials, it is helpful to be aware of recent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research that has identified differences in generational values. These values exert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direct influence on attitudes and behaviors. Twenge et al. (2010) reasoned that if differing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attitudes and behaviors are caused by value-based differences, then differences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 generational behaviors may reflect differing values due to varied influences 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-Italic" w:hAnsi="GillSansStd-Italic" w:cs="GillSansStd-Italic"/>
          <w:i/>
          <w:iCs/>
          <w:sz w:val="20"/>
          <w:szCs w:val="20"/>
        </w:rPr>
        <w:t xml:space="preserve">Engaging Employees and Students in the Workplace and Classroom </w:t>
      </w:r>
      <w:r>
        <w:rPr>
          <w:rFonts w:ascii="GillSansStd" w:hAnsi="GillSansStd" w:cs="GillSansStd"/>
          <w:sz w:val="20"/>
          <w:szCs w:val="20"/>
        </w:rPr>
        <w:t>259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childhood and early adolescence. The researchers studied differences in work values,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which are conceptualized as “outcomes people desire and feel they should attain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through work” (Twenge et al., 2010, p. 1121). Twenge et al. sought differences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among Boomers, GenX, and the Millennials, whose childhood and early adult experiences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with the economy, cultural changes, and technology have differed markedly.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Unlike previous cross-sectional design studies that surveyed current employees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varied ages, Twenge et al. (2010) reviewed existing data on values gathered from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high school seniors and argued that the worldview or values formed by then remain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consistent through early adulthood and even throughout one’s entire life.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Twenge et al. (2010) examined questionnaires administered to 16,507 graduating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high school seniors in their 18th year: 1976 for Boomers, 1991 for GenX, and 2006 for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Millennials. The birth years of these 18-year-olds are at the approximate midpoint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generational range. The results are unique among generational studies in examining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 consistent age group, thereby separating the effects of age and longevity on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job (Twenge et al., 2010). This research also reviewed the largest number of subjects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of any research to date, and used a cross section of subjects, as opposed to the narrower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groups used in smaller samples for studies of building trade workers (Real, Mitnick, &amp;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Maloney, 2010), hospitality management employees (Chen &amp; Choi, 2008),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Canadian knowledge workers (Lyons, Duxbury, &amp; Higgins, 2005). Of these, only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Lyons et al. (2005) used a comparable scale. Their results agreed with Twenge et al. 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that altruism was more important to Boomers than to Millennials; however, other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results differed. The differences may be explained due to the different measurement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instrument, smaller sample size, or cultural differences. The other studies focused 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other qualities important in the context of their workplaces.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Because of the large magnitude of the sample and the methodology of comparing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subjects of the same age, the Twenge et al. (2010) results will be discussed here. By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using data from the same survey with different generations at the same age,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researchers controlled more variables than other studies. They obtained consistent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measures of the high school students’ values related to job stability, leisure time,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23 different job characteristics. These measures quantified distinct differences in values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categorized as extrinsic, intrinsic, altruistic, social, and leisure. The responses by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high school seniors on the 5-point Likert-type scale at age 18 years can be expected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be consistent with employees’ preferences in their work lives, as noted above.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Statistical measures of significant differences were used to determine if GenX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Millennials’ responses differed from those of the Boomers.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4"/>
          <w:szCs w:val="24"/>
        </w:rPr>
      </w:pPr>
      <w:r>
        <w:rPr>
          <w:rFonts w:ascii="GillSansStd-Bold" w:hAnsi="GillSansStd-Bold" w:cs="GillSansStd-Bold"/>
          <w:b/>
          <w:bCs/>
          <w:sz w:val="24"/>
          <w:szCs w:val="24"/>
        </w:rPr>
        <w:t>Differences in Work-Related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4"/>
          <w:szCs w:val="24"/>
        </w:rPr>
      </w:pPr>
      <w:r>
        <w:rPr>
          <w:rFonts w:ascii="GillSansStd-Bold" w:hAnsi="GillSansStd-Bold" w:cs="GillSansStd-Bold"/>
          <w:b/>
          <w:bCs/>
          <w:sz w:val="24"/>
          <w:szCs w:val="24"/>
        </w:rPr>
        <w:t>Values Across Generations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Generational cohorts do hold similar values and differ from other cohorts. Significant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differences in job values were found to exist across the generations (Twenge et al.,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2010) and are summarized in Table 1. Significances are only shown for GenX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Millennials, as the differences are with respect to the Boomers, whose ratings established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baseline comparison. In Table 1, “1” designates the generation who agreed most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Italic" w:hAnsi="GillSansStd-Italic" w:cs="GillSansStd-Italic"/>
          <w:i/>
          <w:iCs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 xml:space="preserve">260 </w:t>
      </w:r>
      <w:r>
        <w:rPr>
          <w:rFonts w:ascii="GillSansStd-Italic" w:hAnsi="GillSansStd-Italic" w:cs="GillSansStd-Italic"/>
          <w:i/>
          <w:iCs/>
          <w:sz w:val="20"/>
          <w:szCs w:val="20"/>
        </w:rPr>
        <w:t>Business Communication Quarterly 76(2)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strongly on a 1 to 5 scale with statements relating to the value. For example, Boomers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lastRenderedPageBreak/>
        <w:t>rated intrinsic values higher than did either the GenXers or Millennials, but only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Millennials’ difference in rating was significant. In contrast, GenX ratings of extrinsic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values significantly exceeded those given by both Boomers and Millennials. Both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GenX and Millennials differed significantly from the Boomers in rating extrinsic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rewards related to work.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results show that the Millennials are significantly more interested in extrinsic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rewards than are Boomers, although Millennials are less interested than GenX. Although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salaries and the material possessions that money can buy, as well as the accompanying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prestige, were still important to Millennials, these are significantly </w:t>
      </w: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less important </w:t>
      </w:r>
      <w:r>
        <w:rPr>
          <w:rFonts w:ascii="TimesNewRomanPSMT" w:hAnsi="TimesNewRomanPSMT" w:cs="TimesNewRomanPSMT"/>
          <w:sz w:val="20"/>
          <w:szCs w:val="20"/>
        </w:rPr>
        <w:t>than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these values are to GenXers, who displayed “particularly pronounced” differences with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Boomers (Twenge et al., 2010, p. 1132). This value was the only one that did not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change in a linear progression across the generations (Twenge et al., 2010).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In contrast, each generation is increasingly </w:t>
      </w: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less </w:t>
      </w:r>
      <w:r>
        <w:rPr>
          <w:rFonts w:ascii="TimesNewRomanPSMT" w:hAnsi="TimesNewRomanPSMT" w:cs="TimesNewRomanPSMT"/>
          <w:sz w:val="20"/>
          <w:szCs w:val="20"/>
        </w:rPr>
        <w:t>likely to value intrinsic rewards as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highly as the previous generation. The Boomers rated having interesting and challenging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work most highly, while each successive generation has had slightly less interest.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However, intrinsic rewards are still rated highly by all three generations.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Millennials differed significantly from both of the other generations, although GenXers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and Boomers did not differ significantly from each other (Twenge et al., 2010).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Social rewards were similar to intrinsic rewards in having significantly </w:t>
      </w: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less value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Millennials than to GenX, who did not differ significantly from Boomers. This most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populous baseline group ranked the value most highly among all the generations,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which is consistent with the Boomers’ rating work as central to their lives (Twenge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et al., 2010). In contrast, the Millennials’ resulting low rating is surprising, given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younger group’s avid interest in social media; they may simply wish to pursue friendships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outside the work environment.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least contrast among generations was in the value of altruistic rewards, which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showed no significant differences across generations. In contrast to some theorists’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expectations (Howe &amp; Strauss, 2000), Millennials were slightly </w:t>
      </w: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less inclined </w:t>
      </w:r>
      <w:r>
        <w:rPr>
          <w:rFonts w:ascii="TimesNewRomanPSMT" w:hAnsi="TimesNewRomanPSMT" w:cs="TimesNewRomanPSMT"/>
          <w:sz w:val="20"/>
          <w:szCs w:val="20"/>
        </w:rPr>
        <w:t>than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either Boomers or GenXers to be attracted to a job that allows opportunities for volunteering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during work hours, or where they have “an opportunity to be directly helpful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-Bold" w:hAnsi="GillSansStd-Bold" w:cs="GillSansStd-Bold"/>
          <w:b/>
          <w:bCs/>
          <w:sz w:val="18"/>
          <w:szCs w:val="18"/>
        </w:rPr>
        <w:t xml:space="preserve">Table 1. </w:t>
      </w:r>
      <w:r>
        <w:rPr>
          <w:rFonts w:ascii="GillSansStd" w:hAnsi="GillSansStd" w:cs="GillSansStd"/>
          <w:sz w:val="18"/>
          <w:szCs w:val="18"/>
        </w:rPr>
        <w:t>Importance of Work-Related Values by Generation.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Value Boomers GenX Millennials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Leisure 3 2* 1*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Extrinsic 3 1** 2*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Intrinsic 1 2 3*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Altruistic 1 2 3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Social 1 2 3*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6"/>
          <w:szCs w:val="16"/>
        </w:rPr>
      </w:pPr>
      <w:r>
        <w:rPr>
          <w:rFonts w:ascii="GillSansStd-Italic" w:hAnsi="GillSansStd-Italic" w:cs="GillSansStd-Italic"/>
          <w:i/>
          <w:iCs/>
          <w:sz w:val="16"/>
          <w:szCs w:val="16"/>
        </w:rPr>
        <w:t>Source</w:t>
      </w:r>
      <w:r>
        <w:rPr>
          <w:rFonts w:ascii="GillSansStd" w:hAnsi="GillSansStd" w:cs="GillSansStd"/>
          <w:sz w:val="16"/>
          <w:szCs w:val="16"/>
        </w:rPr>
        <w:t>. Data based on Twenge, Campbell, Hoffman, and Lance (2010, pp. 1127-1129).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6"/>
          <w:szCs w:val="16"/>
        </w:rPr>
      </w:pPr>
      <w:r>
        <w:rPr>
          <w:rFonts w:ascii="GillSansStd-Italic" w:hAnsi="GillSansStd-Italic" w:cs="GillSansStd-Italic"/>
          <w:i/>
          <w:iCs/>
          <w:sz w:val="16"/>
          <w:szCs w:val="16"/>
        </w:rPr>
        <w:t>Note</w:t>
      </w:r>
      <w:r>
        <w:rPr>
          <w:rFonts w:ascii="GillSansStd" w:hAnsi="GillSansStd" w:cs="GillSansStd"/>
          <w:sz w:val="16"/>
          <w:szCs w:val="16"/>
        </w:rPr>
        <w:t>. Value of “1” indicates generation rating value most highly. Only the altruistic value showed no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6"/>
          <w:szCs w:val="16"/>
        </w:rPr>
      </w:pPr>
      <w:r>
        <w:rPr>
          <w:rFonts w:ascii="GillSansStd" w:hAnsi="GillSansStd" w:cs="GillSansStd"/>
          <w:sz w:val="16"/>
          <w:szCs w:val="16"/>
        </w:rPr>
        <w:t>significant differences among generations.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6"/>
          <w:szCs w:val="16"/>
        </w:rPr>
      </w:pPr>
      <w:r>
        <w:rPr>
          <w:rFonts w:ascii="GillSansStd" w:hAnsi="GillSansStd" w:cs="GillSansStd"/>
          <w:sz w:val="16"/>
          <w:szCs w:val="16"/>
        </w:rPr>
        <w:t>*</w:t>
      </w:r>
      <w:r>
        <w:rPr>
          <w:rFonts w:ascii="GillSansStd-Italic" w:hAnsi="GillSansStd-Italic" w:cs="GillSansStd-Italic"/>
          <w:i/>
          <w:iCs/>
          <w:sz w:val="16"/>
          <w:szCs w:val="16"/>
        </w:rPr>
        <w:t xml:space="preserve">p </w:t>
      </w:r>
      <w:r>
        <w:rPr>
          <w:rFonts w:ascii="SymbolMT" w:hAnsi="SymbolMT" w:cs="SymbolMT"/>
          <w:sz w:val="16"/>
          <w:szCs w:val="16"/>
        </w:rPr>
        <w:t xml:space="preserve">&lt; </w:t>
      </w:r>
      <w:r>
        <w:rPr>
          <w:rFonts w:ascii="GillSansStd" w:hAnsi="GillSansStd" w:cs="GillSansStd"/>
          <w:sz w:val="16"/>
          <w:szCs w:val="16"/>
        </w:rPr>
        <w:t>.05. **</w:t>
      </w:r>
      <w:r>
        <w:rPr>
          <w:rFonts w:ascii="GillSansStd-Italic" w:hAnsi="GillSansStd-Italic" w:cs="GillSansStd-Italic"/>
          <w:i/>
          <w:iCs/>
          <w:sz w:val="16"/>
          <w:szCs w:val="16"/>
        </w:rPr>
        <w:t xml:space="preserve">p </w:t>
      </w:r>
      <w:r>
        <w:rPr>
          <w:rFonts w:ascii="SymbolMT" w:hAnsi="SymbolMT" w:cs="SymbolMT"/>
          <w:sz w:val="16"/>
          <w:szCs w:val="16"/>
        </w:rPr>
        <w:t xml:space="preserve">&lt; </w:t>
      </w:r>
      <w:r>
        <w:rPr>
          <w:rFonts w:ascii="GillSansStd" w:hAnsi="GillSansStd" w:cs="GillSansStd"/>
          <w:sz w:val="16"/>
          <w:szCs w:val="16"/>
        </w:rPr>
        <w:t>.01. ***</w:t>
      </w:r>
      <w:r>
        <w:rPr>
          <w:rFonts w:ascii="GillSansStd-Italic" w:hAnsi="GillSansStd-Italic" w:cs="GillSansStd-Italic"/>
          <w:i/>
          <w:iCs/>
          <w:sz w:val="16"/>
          <w:szCs w:val="16"/>
        </w:rPr>
        <w:t xml:space="preserve">p </w:t>
      </w:r>
      <w:r>
        <w:rPr>
          <w:rFonts w:ascii="SymbolMT" w:hAnsi="SymbolMT" w:cs="SymbolMT"/>
          <w:sz w:val="16"/>
          <w:szCs w:val="16"/>
        </w:rPr>
        <w:t xml:space="preserve">&lt; </w:t>
      </w:r>
      <w:r>
        <w:rPr>
          <w:rFonts w:ascii="GillSansStd" w:hAnsi="GillSansStd" w:cs="GillSansStd"/>
          <w:sz w:val="16"/>
          <w:szCs w:val="16"/>
        </w:rPr>
        <w:t>.001.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-Italic" w:hAnsi="GillSansStd-Italic" w:cs="GillSansStd-Italic"/>
          <w:i/>
          <w:iCs/>
          <w:sz w:val="20"/>
          <w:szCs w:val="20"/>
        </w:rPr>
        <w:t xml:space="preserve">Engaging Employees and Students in the Workplace and Classroom </w:t>
      </w:r>
      <w:r>
        <w:rPr>
          <w:rFonts w:ascii="GillSansStd" w:hAnsi="GillSansStd" w:cs="GillSansStd"/>
          <w:sz w:val="20"/>
          <w:szCs w:val="20"/>
        </w:rPr>
        <w:t>261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others” (Twenge et al., 2010, pp. 1132-1133). Statistically, this value has equal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appeal for all generations.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strongest statistical change in value ratings was for leisure rewards at work,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which was measured with questions related to a job that allows for self-paced work,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work that is “mostly free of supervision,” and time for “other things in your life,” as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well as increased vacation (Monitoring the Future Form 4 questions, as shown 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Twenge et al., 2010, p. 1127). In fact, GenXers and Millennials were “progressively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more likely” to value leisure at work (p. 1131), with each generation significantly </w:t>
      </w: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more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likely </w:t>
      </w:r>
      <w:r>
        <w:rPr>
          <w:rFonts w:ascii="TimesNewRomanPSMT" w:hAnsi="TimesNewRomanPSMT" w:cs="TimesNewRomanPSMT"/>
          <w:sz w:val="20"/>
          <w:szCs w:val="20"/>
        </w:rPr>
        <w:t>to value leisure than the preceding cohort. The Millennials’ preference exceeded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Cohen’s (1977) generally accepted standard cutoff for a moderate effect size.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Although most of the generational differences found in values were limited to small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to moderate effects (Twenge et al., 2010) in the aggregate, the differences are of practical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importance. Notably, the Millennials as a group had a smaller standard deviation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over the span of responses than either the GenX or Boomer generation (Twenge et al.,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2010), indicating that the Millennials as a group are more like-minded than other generations.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lastRenderedPageBreak/>
        <w:t>Across all generations tested, the survey respondents were shown to have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interpreted the questions in a consistent way, ensuring that these value preferences are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indeed generational differences in the category tested.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above results shed light on why Millennials may be perceived as having an attitude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of entitlement, as they value both leisure and extrinsic rewards highly. The impact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importance of leisure at work helps explain the rise in employers’ approach to providing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fun at work, and the still-highly rated intrinsic value shows why Millennials want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work itself to be rewarding, which </w:t>
      </w: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is </w:t>
      </w:r>
      <w:r>
        <w:rPr>
          <w:rFonts w:ascii="TimesNewRomanPSMT" w:hAnsi="TimesNewRomanPSMT" w:cs="TimesNewRomanPSMT"/>
          <w:sz w:val="20"/>
          <w:szCs w:val="20"/>
        </w:rPr>
        <w:t>more fun. The preference for intrinsic rewards is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consistent with Fairlie’s (2011) contention that “meaningful work” is strongly correlated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with employee engagement (p. 510). In academia, we see evidence of the leisure value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(i.e., for “other things” in your life, Twenge et al., 2010, p. 1127) when students choose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classes that meet twice a week rather than those meeting three times per week.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4"/>
          <w:szCs w:val="24"/>
        </w:rPr>
      </w:pPr>
      <w:r>
        <w:rPr>
          <w:rFonts w:ascii="GillSansStd-Bold" w:hAnsi="GillSansStd-Bold" w:cs="GillSansStd-Bold"/>
          <w:b/>
          <w:bCs/>
          <w:sz w:val="24"/>
          <w:szCs w:val="24"/>
        </w:rPr>
        <w:t>Pedagogical Application: Millennials in the Classroom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distinct differences between the current generation (the Millennials) and preceding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generations (GenX and Boomers) suggest a need for classroom adaptation to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increase students’ engagement, as “. . . it is clear that creating an active, engaging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environment is key to learning for Millennials” (Werth &amp; Werth, 2011, p. 14).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Recognizing the preferences shown in Table 1 by the Millennial students who dominate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many of our classrooms, we as teachers can use this information to inform our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instruction. By addressing the Millennials’ values, we are more likely to engage them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and increase their learning.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Adaptation to the Millennials’ values avoids the trap of mistaking “fun” as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complete answer to the engagement riddle. Nor is technology alone the answer,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despite Millennials’ early conditioning on video games. The video games as interactive,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experiential learning tools, however, provide an example of learning as a “plugand-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play experience” in which Millennials not only learn, but also interact with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games in an enjoyable, challenging way, according to Alison Black (as cited in Werth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Italic" w:hAnsi="GillSansStd-Italic" w:cs="GillSansStd-Italic"/>
          <w:i/>
          <w:iCs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 xml:space="preserve">262 </w:t>
      </w:r>
      <w:r>
        <w:rPr>
          <w:rFonts w:ascii="GillSansStd-Italic" w:hAnsi="GillSansStd-Italic" w:cs="GillSansStd-Italic"/>
          <w:i/>
          <w:iCs/>
          <w:sz w:val="20"/>
          <w:szCs w:val="20"/>
        </w:rPr>
        <w:t>Business Communication Quarterly 76(2)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&amp; Werth, 2011). Although Millennials’ brains may function differently due to early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exposure to digital technologies as noted earlier (Tapscott, 2009), their learning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options are broader than video games. However, many of the same trial-and-error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principles found in video games can be applied to learning business communication.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Experts in adult learning advocate moving away from lecturing Millennials to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using the principles designed for teaching adults (Werth &amp; Werth, 2011). Knowles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(1980) identified four assumptions to make about maturing learners: (a) they gain selfdirection;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(b) they gather experience, a useful resource on which to build learning; (c)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their focus on getting a job and succeeding in their careers tends to dominate motivation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for learning; and (d) they expect what they learn to have immediate application.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Teaching based on these assumptions becomes more student-directed, with the instructor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facilitating rather than lecturing (Werth &amp; Werth, 2011).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My suggestion is that one additional element be considered in the analysis of our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student audiences to guide our facilitation of students’ learning: Millennials’ values.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This article provides information on those values. This information, combined with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the tested exercises and activities shown in previous articles in, for example, </w:t>
      </w: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Business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Communication Quarterly</w:t>
      </w:r>
      <w:r>
        <w:rPr>
          <w:rFonts w:ascii="TimesNewRomanPSMT" w:hAnsi="TimesNewRomanPSMT" w:cs="TimesNewRomanPSMT"/>
          <w:sz w:val="20"/>
          <w:szCs w:val="20"/>
        </w:rPr>
        <w:t>, offers additional opportunities for engagement and learning.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Table 2 provides a sample of recent articles, categorized by and aligned with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Millennials’ values. The table illustrates how each of the values can be addressed to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reach a specific learning outcome. Those shown for “social” rewards address interpersonal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skills, as the original value was measured on interest in making friends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-Bold" w:hAnsi="GillSansStd-Bold" w:cs="GillSansStd-Bold"/>
          <w:b/>
          <w:bCs/>
          <w:sz w:val="18"/>
          <w:szCs w:val="18"/>
        </w:rPr>
        <w:t xml:space="preserve">Table 2. </w:t>
      </w:r>
      <w:r>
        <w:rPr>
          <w:rFonts w:ascii="GillSansStd" w:hAnsi="GillSansStd" w:cs="GillSansStd"/>
          <w:sz w:val="18"/>
          <w:szCs w:val="18"/>
        </w:rPr>
        <w:t xml:space="preserve">Recent </w:t>
      </w:r>
      <w:r>
        <w:rPr>
          <w:rFonts w:ascii="GillSansStd-Italic" w:hAnsi="GillSansStd-Italic" w:cs="GillSansStd-Italic"/>
          <w:i/>
          <w:iCs/>
          <w:sz w:val="18"/>
          <w:szCs w:val="18"/>
        </w:rPr>
        <w:t xml:space="preserve">Business Communication Quarterly </w:t>
      </w:r>
      <w:r>
        <w:rPr>
          <w:rFonts w:ascii="GillSansStd" w:hAnsi="GillSansStd" w:cs="GillSansStd"/>
          <w:sz w:val="18"/>
          <w:szCs w:val="18"/>
        </w:rPr>
        <w:t>Resources on Engagement That Align With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Millennials’ Values.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Value(s) Addressed Author(s) Title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Leisure, social Kelm (2011) Social Media: It’s What Students Do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Extrinsic Brzovic and Matz (2009) Students Advise Fortune 500 Company: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Designing a Problem-Based Learning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Community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lastRenderedPageBreak/>
        <w:t>Intrinsic Pennell and Miles (2009) “It Actually Made Me Think”: Problem-Based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Learning in the Business Communication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Classroom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Intrinsic, social Conn (2008) Integrating Writing Skills and Ethics Training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in Business Communication Pedagogy: A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Resume Case Study Exemplar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Intrinsic, social Meredith (2012) Strategic Communication and Social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Media: An MBA Course From a Business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Communication Perspective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Social Hartman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McCambridge (2011)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Optimizing Millennials’ Communication Styles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Altruistic Mabry (2011) Tackling the Sustainability Dilemma: A Holistic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Approach to Preparing Students for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18"/>
          <w:szCs w:val="18"/>
        </w:rPr>
      </w:pPr>
      <w:r>
        <w:rPr>
          <w:rFonts w:ascii="GillSansStd" w:hAnsi="GillSansStd" w:cs="GillSansStd"/>
          <w:sz w:val="18"/>
          <w:szCs w:val="18"/>
        </w:rPr>
        <w:t>Professional Organization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-Italic" w:hAnsi="GillSansStd-Italic" w:cs="GillSansStd-Italic"/>
          <w:i/>
          <w:iCs/>
          <w:sz w:val="20"/>
          <w:szCs w:val="20"/>
        </w:rPr>
        <w:t xml:space="preserve">Engaging Employees and Students in the Workplace and Classroom </w:t>
      </w:r>
      <w:r>
        <w:rPr>
          <w:rFonts w:ascii="GillSansStd" w:hAnsi="GillSansStd" w:cs="GillSansStd"/>
          <w:sz w:val="20"/>
          <w:szCs w:val="20"/>
        </w:rPr>
        <w:t>263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having contact with “a lot” of people (Twenge et al., 2010, p. 1128). Several of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articles could be used for more than one value.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The sample suggestions shown in Table 2 will challenge students with meaningful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activities and assignments that build effective skills for and address their interest 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obtaining career positions and advancing in those careers. These are only a sample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potential exercises provided by this journal’s recent authors. Most of the sample exercises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require critical thinking, and encourage development of the ability to articulate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dissent, which is valued in engaged employees as necessary for accurate feedback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organizational improvement (Kassing et al., 2012). Addressing Millennials’ values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can help engage students in the classroom and give them practice for the workplace so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that they are more independent and productive on the first day of employment.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0"/>
          <w:szCs w:val="20"/>
        </w:rPr>
      </w:pPr>
      <w:r>
        <w:rPr>
          <w:rFonts w:ascii="GillSansStd-Bold" w:hAnsi="GillSansStd-Bold" w:cs="GillSansStd-Bold"/>
          <w:b/>
          <w:bCs/>
          <w:sz w:val="20"/>
          <w:szCs w:val="20"/>
        </w:rPr>
        <w:t>Author’s Note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This article is based on a paper presented at the annual meeting of the Corporate Communication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International, New York, NY, USA, 2012. The author would like to thank the editors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reviewers for their thoughtful questions and helpful comments.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0"/>
          <w:szCs w:val="20"/>
        </w:rPr>
      </w:pPr>
      <w:r>
        <w:rPr>
          <w:rFonts w:ascii="GillSansStd-Bold" w:hAnsi="GillSansStd-Bold" w:cs="GillSansStd-Bold"/>
          <w:b/>
          <w:bCs/>
          <w:sz w:val="20"/>
          <w:szCs w:val="20"/>
        </w:rPr>
        <w:t>Declaration of Conflicting Interests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The author(s) declared no potential conflicts of interest with respect to the research, authorship,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and/or publication of this article.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0"/>
          <w:szCs w:val="20"/>
        </w:rPr>
      </w:pPr>
      <w:r>
        <w:rPr>
          <w:rFonts w:ascii="GillSansStd-Bold" w:hAnsi="GillSansStd-Bold" w:cs="GillSansStd-Bold"/>
          <w:b/>
          <w:bCs/>
          <w:sz w:val="20"/>
          <w:szCs w:val="20"/>
        </w:rPr>
        <w:t>Funding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The author(s) received no financial support for the research, authorship, and/or publication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this article.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0"/>
          <w:szCs w:val="20"/>
        </w:rPr>
      </w:pPr>
      <w:r>
        <w:rPr>
          <w:rFonts w:ascii="GillSansStd-Bold" w:hAnsi="GillSansStd-Bold" w:cs="GillSansStd-Bold"/>
          <w:b/>
          <w:bCs/>
          <w:sz w:val="20"/>
          <w:szCs w:val="20"/>
        </w:rPr>
        <w:t>References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Alsop, R. (2008).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The trophy kids grow up</w:t>
      </w:r>
      <w:r>
        <w:rPr>
          <w:rFonts w:ascii="TimesNewRomanPSMT" w:hAnsi="TimesNewRomanPSMT" w:cs="TimesNewRomanPSMT"/>
          <w:sz w:val="18"/>
          <w:szCs w:val="18"/>
        </w:rPr>
        <w:t>. San Francisco, CA: Jossey-Bass.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Bakke, D. W. (2005).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Joy at work: A revolutionary approach to fun on the job</w:t>
      </w:r>
      <w:r>
        <w:rPr>
          <w:rFonts w:ascii="TimesNewRomanPSMT" w:hAnsi="TimesNewRomanPSMT" w:cs="TimesNewRomanPSMT"/>
          <w:sz w:val="18"/>
          <w:szCs w:val="18"/>
        </w:rPr>
        <w:t>. Seattle, WA: PVG.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Bakker, A. B. (2011). An evidence-based model of work engagement.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Current Directions 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Psychological Science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20</w:t>
      </w:r>
      <w:r>
        <w:rPr>
          <w:rFonts w:ascii="TimesNewRomanPSMT" w:hAnsi="TimesNewRomanPSMT" w:cs="TimesNewRomanPSMT"/>
          <w:sz w:val="18"/>
          <w:szCs w:val="18"/>
        </w:rPr>
        <w:t>, 265-269.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BlessingWhite, Inc. (2011).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Employee engagement report 2011. Beyond the numbers: A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practical approach for individuals, managers and executives</w:t>
      </w:r>
      <w:r>
        <w:rPr>
          <w:rFonts w:ascii="TimesNewRomanPSMT" w:hAnsi="TimesNewRomanPSMT" w:cs="TimesNewRomanPSMT"/>
          <w:sz w:val="18"/>
          <w:szCs w:val="18"/>
        </w:rPr>
        <w:t>. Retrieved from http://www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.blessingwhite.com/eee_report.asp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Brzovic, K., &amp; Matz, S. I. (2009). Students advise Fortune 500 company: Designing a problembased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learning community.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Business Communication Quarterly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72</w:t>
      </w:r>
      <w:r>
        <w:rPr>
          <w:rFonts w:ascii="TimesNewRomanPSMT" w:hAnsi="TimesNewRomanPSMT" w:cs="TimesNewRomanPSMT"/>
          <w:sz w:val="18"/>
          <w:szCs w:val="18"/>
        </w:rPr>
        <w:t>, 21-34.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Chen, P., &amp; Choi, Y. (2008). Generational differences in work values: A study of hospitality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management.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International Journal of Contemporary Hospitality Management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20</w:t>
      </w:r>
      <w:r>
        <w:rPr>
          <w:rFonts w:ascii="TimesNewRomanPSMT" w:hAnsi="TimesNewRomanPSMT" w:cs="TimesNewRomanPSMT"/>
          <w:sz w:val="18"/>
          <w:szCs w:val="18"/>
        </w:rPr>
        <w:t>, 595-615.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Cohen, J. (1977).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Statistical power analysis for the behavioral sciences</w:t>
      </w:r>
      <w:r>
        <w:rPr>
          <w:rFonts w:ascii="TimesNewRomanPSMT" w:hAnsi="TimesNewRomanPSMT" w:cs="TimesNewRomanPSMT"/>
          <w:sz w:val="18"/>
          <w:szCs w:val="18"/>
        </w:rPr>
        <w:t>. New York, NY: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Academic Press.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Conn, C. E. (2008). Integrating writing skills and ethics training in business communication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pedagogy: A resume case study exemplar.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Business Communication Quarterly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71</w:t>
      </w:r>
      <w:r>
        <w:rPr>
          <w:rFonts w:ascii="TimesNewRomanPSMT" w:hAnsi="TimesNewRomanPSMT" w:cs="TimesNewRomanPSMT"/>
          <w:sz w:val="18"/>
          <w:szCs w:val="18"/>
        </w:rPr>
        <w:t>, 138-151.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Fairlie, P. (2011). Meaningful work, employee engagement, and other key employee outcomes: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Implications for human resource development.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Advances in Developing Human Resources</w:t>
      </w:r>
      <w:r>
        <w:rPr>
          <w:rFonts w:ascii="TimesNewRomanPSMT" w:hAnsi="TimesNewRomanPSMT" w:cs="TimesNewRomanPSMT"/>
          <w:sz w:val="18"/>
          <w:szCs w:val="18"/>
        </w:rPr>
        <w:t>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13</w:t>
      </w:r>
      <w:r>
        <w:rPr>
          <w:rFonts w:ascii="TimesNewRomanPSMT" w:hAnsi="TimesNewRomanPSMT" w:cs="TimesNewRomanPSMT"/>
          <w:sz w:val="18"/>
          <w:szCs w:val="18"/>
        </w:rPr>
        <w:t>, 508-525.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Italic" w:hAnsi="GillSansStd-Italic" w:cs="GillSansStd-Italic"/>
          <w:i/>
          <w:iCs/>
          <w:sz w:val="20"/>
          <w:szCs w:val="20"/>
        </w:rPr>
      </w:pPr>
      <w:r>
        <w:rPr>
          <w:rFonts w:ascii="GillSansStd" w:hAnsi="GillSansStd" w:cs="GillSansStd"/>
          <w:sz w:val="20"/>
          <w:szCs w:val="20"/>
        </w:rPr>
        <w:t xml:space="preserve">264 </w:t>
      </w:r>
      <w:r>
        <w:rPr>
          <w:rFonts w:ascii="GillSansStd-Italic" w:hAnsi="GillSansStd-Italic" w:cs="GillSansStd-Italic"/>
          <w:i/>
          <w:iCs/>
          <w:sz w:val="20"/>
          <w:szCs w:val="20"/>
        </w:rPr>
        <w:t>Business Communication Quarterly 76(2)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Gavin, J. H., &amp; Mason, R. O. (2004, November 14). The virtuous organization: The value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happiness in the workplace.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Organizational Dynamics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33</w:t>
      </w:r>
      <w:r>
        <w:rPr>
          <w:rFonts w:ascii="TimesNewRomanPSMT" w:hAnsi="TimesNewRomanPSMT" w:cs="TimesNewRomanPSMT"/>
          <w:sz w:val="18"/>
          <w:szCs w:val="18"/>
        </w:rPr>
        <w:t>, 369-372.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Gebauer, J., &amp; Lowman, D. (2008).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Closing the engagement gap: How great companies unlock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lastRenderedPageBreak/>
        <w:t>employee potential for superior results</w:t>
      </w:r>
      <w:r>
        <w:rPr>
          <w:rFonts w:ascii="TimesNewRomanPSMT" w:hAnsi="TimesNewRomanPSMT" w:cs="TimesNewRomanPSMT"/>
          <w:sz w:val="18"/>
          <w:szCs w:val="18"/>
        </w:rPr>
        <w:t>. New York, NY: Penguin.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Gilbert, J. (2011). The Millennials: A new generation of employees, a new set of engagement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policies.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Ivey Business Journal: Improving the Practice of Management, September-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October</w:t>
      </w:r>
      <w:r>
        <w:rPr>
          <w:rFonts w:ascii="TimesNewRomanPSMT" w:hAnsi="TimesNewRomanPSMT" w:cs="TimesNewRomanPSMT"/>
          <w:sz w:val="18"/>
          <w:szCs w:val="18"/>
        </w:rPr>
        <w:t>, 1-3. Retrieved from http://www.iveybusinessjournal.com/topics/the-workplace/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the-millennials-a-new-generation-of-employees-a-new-set-of-engagement-policies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Harter, J. K., Schmidt, F. L., &amp; Hayes, T. L. (2002). Business-unit-level relationship between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employee satisfaction, employee engagement, and business outcomes: A meta-analysis.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Journal of Applied Psychology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87</w:t>
      </w:r>
      <w:r>
        <w:rPr>
          <w:rFonts w:ascii="TimesNewRomanPSMT" w:hAnsi="TimesNewRomanPSMT" w:cs="TimesNewRomanPSMT"/>
          <w:sz w:val="18"/>
          <w:szCs w:val="18"/>
        </w:rPr>
        <w:t>, 268-279. doi:10.1037//0021-9010.87.2.268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Hartman, J. L., &amp; McCambridge, J. (2011). Optimizing Millennials’ communication styles.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Business Communication Quarterly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74</w:t>
      </w:r>
      <w:r>
        <w:rPr>
          <w:rFonts w:ascii="TimesNewRomanPSMT" w:hAnsi="TimesNewRomanPSMT" w:cs="TimesNewRomanPSMT"/>
          <w:sz w:val="18"/>
          <w:szCs w:val="18"/>
        </w:rPr>
        <w:t>, 22-44.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Howe, N., &amp; Strauss, W. (2000).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Millennials rising: The next great generation</w:t>
      </w:r>
      <w:r>
        <w:rPr>
          <w:rFonts w:ascii="TimesNewRomanPSMT" w:hAnsi="TimesNewRomanPSMT" w:cs="TimesNewRomanPSMT"/>
          <w:sz w:val="18"/>
          <w:szCs w:val="18"/>
        </w:rPr>
        <w:t>. New York, NY: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Vintage Books.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Kahn, W. A. (1990). Psychological conditions of personal engagement and disengagement at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work.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Academy of Management Journal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33</w:t>
      </w:r>
      <w:r>
        <w:rPr>
          <w:rFonts w:ascii="TimesNewRomanPSMT" w:hAnsi="TimesNewRomanPSMT" w:cs="TimesNewRomanPSMT"/>
          <w:sz w:val="18"/>
          <w:szCs w:val="18"/>
        </w:rPr>
        <w:t>, 692-724.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Kassing, J. W., Piemonte, N. M., Goman, C. C., &amp; Mitchell, C. A. (2012). Dissent expression as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an indicator of work engagement and intention to leave.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Journal of Business Communication</w:t>
      </w:r>
      <w:r>
        <w:rPr>
          <w:rFonts w:ascii="TimesNewRomanPSMT" w:hAnsi="TimesNewRomanPSMT" w:cs="TimesNewRomanPSMT"/>
          <w:sz w:val="18"/>
          <w:szCs w:val="18"/>
        </w:rPr>
        <w:t>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49</w:t>
      </w:r>
      <w:r>
        <w:rPr>
          <w:rFonts w:ascii="TimesNewRomanPSMT" w:hAnsi="TimesNewRomanPSMT" w:cs="TimesNewRomanPSMT"/>
          <w:sz w:val="18"/>
          <w:szCs w:val="18"/>
        </w:rPr>
        <w:t>, 237-253.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Kelm, O. R. (2011). Social media: It’s what students do.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Business Communication Quarterly</w:t>
      </w:r>
      <w:r>
        <w:rPr>
          <w:rFonts w:ascii="TimesNewRomanPSMT" w:hAnsi="TimesNewRomanPSMT" w:cs="TimesNewRomanPSMT"/>
          <w:sz w:val="18"/>
          <w:szCs w:val="18"/>
        </w:rPr>
        <w:t>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74</w:t>
      </w:r>
      <w:r>
        <w:rPr>
          <w:rFonts w:ascii="TimesNewRomanPSMT" w:hAnsi="TimesNewRomanPSMT" w:cs="TimesNewRomanPSMT"/>
          <w:sz w:val="18"/>
          <w:szCs w:val="18"/>
        </w:rPr>
        <w:t>, 505-520.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Knowles, M. (1980).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The modern practice of adult education: From pedagogy to andragogy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(2nd ed.). New York, NY: Association Press.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Kumar, R., &amp; Sia, S. K. (2012). Employee engagement: Explicating the contribution of work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environment.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Management and Labour Studies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37</w:t>
      </w:r>
      <w:r>
        <w:rPr>
          <w:rFonts w:ascii="TimesNewRomanPSMT" w:hAnsi="TimesNewRomanPSMT" w:cs="TimesNewRomanPSMT"/>
          <w:sz w:val="18"/>
          <w:szCs w:val="18"/>
        </w:rPr>
        <w:t>, 31-43.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Lyons, S., Duxbury, L., &amp; Higgins, C. (2005, May).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An empirical assessment of generational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differences in work-related values</w:t>
      </w:r>
      <w:r>
        <w:rPr>
          <w:rFonts w:ascii="TimesNewRomanPSMT" w:hAnsi="TimesNewRomanPSMT" w:cs="TimesNewRomanPSMT"/>
          <w:sz w:val="18"/>
          <w:szCs w:val="18"/>
        </w:rPr>
        <w:t>. Paper presented at the annual meeting of the Administrative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Sciences Association of Canada, Toronto, Ontario, Canada.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Mabry, S. (2011). Tackling the sustainability dilemma: A holistic approach to preparing students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for the professional organization.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Business Communication Quarterly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74</w:t>
      </w:r>
      <w:r>
        <w:rPr>
          <w:rFonts w:ascii="TimesNewRomanPSMT" w:hAnsi="TimesNewRomanPSMT" w:cs="TimesNewRomanPSMT"/>
          <w:sz w:val="18"/>
          <w:szCs w:val="18"/>
        </w:rPr>
        <w:t>, 119-137.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Maslach, C., Shaufeli, W. B., &amp; Leiter, M. P. (2001). Job burnout.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Annual Review of Psychology</w:t>
      </w:r>
      <w:r>
        <w:rPr>
          <w:rFonts w:ascii="TimesNewRomanPSMT" w:hAnsi="TimesNewRomanPSMT" w:cs="TimesNewRomanPSMT"/>
          <w:sz w:val="18"/>
          <w:szCs w:val="18"/>
        </w:rPr>
        <w:t>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52</w:t>
      </w:r>
      <w:r>
        <w:rPr>
          <w:rFonts w:ascii="TimesNewRomanPSMT" w:hAnsi="TimesNewRomanPSMT" w:cs="TimesNewRomanPSMT"/>
          <w:sz w:val="18"/>
          <w:szCs w:val="18"/>
        </w:rPr>
        <w:t>, 397-422. doi:10.1111/1467-8721.01258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Meister, J. C., &amp; Willyerd, K. (2010, May). Mentoring Millennials.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Harvard Business Review</w:t>
      </w:r>
      <w:r>
        <w:rPr>
          <w:rFonts w:ascii="TimesNewRomanPSMT" w:hAnsi="TimesNewRomanPSMT" w:cs="TimesNewRomanPSMT"/>
          <w:sz w:val="18"/>
          <w:szCs w:val="18"/>
        </w:rPr>
        <w:t>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Retrieved from http://hbr.org/2010/05/mentoring-millennials/ar/1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Meredith, M. J. (2012). Strategic communication and social media: An MBA course from a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business communication perspective.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Business Communication Quarterly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75</w:t>
      </w:r>
      <w:r>
        <w:rPr>
          <w:rFonts w:ascii="TimesNewRomanPSMT" w:hAnsi="TimesNewRomanPSMT" w:cs="TimesNewRomanPSMT"/>
          <w:sz w:val="18"/>
          <w:szCs w:val="18"/>
        </w:rPr>
        <w:t>, 89-95.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Oblinger, D. (2003). Boomers, Gen-Xers &amp; Millennials: Understanding the new students.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EDUCAUSE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Review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38</w:t>
      </w:r>
      <w:r>
        <w:rPr>
          <w:rFonts w:ascii="TimesNewRomanPSMT" w:hAnsi="TimesNewRomanPSMT" w:cs="TimesNewRomanPSMT"/>
          <w:sz w:val="18"/>
          <w:szCs w:val="18"/>
        </w:rPr>
        <w:t>, 37-47.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Parry, E., &amp; Urwin, P. (2010). Generational differences in work values: A review of theory and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evidence.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International Journal of Management Reviews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13</w:t>
      </w:r>
      <w:r>
        <w:rPr>
          <w:rFonts w:ascii="TimesNewRomanPSMT" w:hAnsi="TimesNewRomanPSMT" w:cs="TimesNewRomanPSMT"/>
          <w:sz w:val="18"/>
          <w:szCs w:val="18"/>
        </w:rPr>
        <w:t>, 79-96.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Pennell, M., &amp; Miles, L. (2009). “It actually made me think”: Problem-based learning in the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business communication classroom.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Business Communication Quarterly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72</w:t>
      </w:r>
      <w:r>
        <w:rPr>
          <w:rFonts w:ascii="TimesNewRomanPSMT" w:hAnsi="TimesNewRomanPSMT" w:cs="TimesNewRomanPSMT"/>
          <w:sz w:val="18"/>
          <w:szCs w:val="18"/>
        </w:rPr>
        <w:t>, 377-394.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" w:hAnsi="GillSansStd" w:cs="GillSansStd"/>
          <w:sz w:val="20"/>
          <w:szCs w:val="20"/>
        </w:rPr>
      </w:pPr>
      <w:r>
        <w:rPr>
          <w:rFonts w:ascii="GillSansStd-Italic" w:hAnsi="GillSansStd-Italic" w:cs="GillSansStd-Italic"/>
          <w:i/>
          <w:iCs/>
          <w:sz w:val="20"/>
          <w:szCs w:val="20"/>
        </w:rPr>
        <w:t xml:space="preserve">Engaging Employees and Students in the Workplace and Classroom </w:t>
      </w:r>
      <w:r>
        <w:rPr>
          <w:rFonts w:ascii="GillSansStd" w:hAnsi="GillSansStd" w:cs="GillSansStd"/>
          <w:sz w:val="20"/>
          <w:szCs w:val="20"/>
        </w:rPr>
        <w:t>265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Real, K., Mitnick, A. D., &amp; Maloney, W. F. (2010). More similar than different: Millennials in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the U.S. building trades.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Journal of Business Psychology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25</w:t>
      </w:r>
      <w:r>
        <w:rPr>
          <w:rFonts w:ascii="TimesNewRomanPSMT" w:hAnsi="TimesNewRomanPSMT" w:cs="TimesNewRomanPSMT"/>
          <w:sz w:val="18"/>
          <w:szCs w:val="18"/>
        </w:rPr>
        <w:t>, 303-313.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Sahoo, C. K., &amp; Sahu, G. (2009). Effective employee engagement: The mantra of achieving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organizational excellence.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Management and Labour Studies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34</w:t>
      </w:r>
      <w:r>
        <w:rPr>
          <w:rFonts w:ascii="TimesNewRomanPSMT" w:hAnsi="TimesNewRomanPSMT" w:cs="TimesNewRomanPSMT"/>
          <w:sz w:val="18"/>
          <w:szCs w:val="18"/>
        </w:rPr>
        <w:t>, 73-84.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Saks, A. M. (2006). Antecedents and consequences of employee engagement.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Journal of Managerial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Psychology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21</w:t>
      </w:r>
      <w:r>
        <w:rPr>
          <w:rFonts w:ascii="TimesNewRomanPSMT" w:hAnsi="TimesNewRomanPSMT" w:cs="TimesNewRomanPSMT"/>
          <w:sz w:val="18"/>
          <w:szCs w:val="18"/>
        </w:rPr>
        <w:t>, 600-619. doi:10.1108/026839406106901.69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Schaufeli, W. B., &amp; Bakker, A. B. (2004). Job demands, job resources and their relationship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with burnout and engagement: A multi-sample study.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Journal of Organizational Behavior</w:t>
      </w:r>
      <w:r>
        <w:rPr>
          <w:rFonts w:ascii="TimesNewRomanPSMT" w:hAnsi="TimesNewRomanPSMT" w:cs="TimesNewRomanPSMT"/>
          <w:sz w:val="18"/>
          <w:szCs w:val="18"/>
        </w:rPr>
        <w:t>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25</w:t>
      </w:r>
      <w:r>
        <w:rPr>
          <w:rFonts w:ascii="TimesNewRomanPSMT" w:hAnsi="TimesNewRomanPSMT" w:cs="TimesNewRomanPSMT"/>
          <w:sz w:val="18"/>
          <w:szCs w:val="18"/>
        </w:rPr>
        <w:t>, 293-315.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Schaufeli, W. B., Martinez, I., Marques Pinto, A., Salanova, M., &amp; Bakker, A. B. (2002).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Burnout and engagement in university students: A cross-national study.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Journal of Cross-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Cultural Psychology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33</w:t>
      </w:r>
      <w:r>
        <w:rPr>
          <w:rFonts w:ascii="TimesNewRomanPSMT" w:hAnsi="TimesNewRomanPSMT" w:cs="TimesNewRomanPSMT"/>
          <w:sz w:val="18"/>
          <w:szCs w:val="18"/>
        </w:rPr>
        <w:t>, 464-481.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Schullery, N. (2005, October).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The “Fun” cultures: Case study of sub-cultures in a small company</w:t>
      </w:r>
      <w:r>
        <w:rPr>
          <w:rFonts w:ascii="TimesNewRomanPSMT" w:hAnsi="TimesNewRomanPSMT" w:cs="TimesNewRomanPSMT"/>
          <w:sz w:val="18"/>
          <w:szCs w:val="18"/>
        </w:rPr>
        <w:t>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Presented at the 70th annual convention of the Association for Business Communication,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Irvine, CA.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Shuck, B. (2011). Four emerging perspectives of employee engagement: An integrative literature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review.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Human Resource Development Review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10</w:t>
      </w:r>
      <w:r>
        <w:rPr>
          <w:rFonts w:ascii="TimesNewRomanPSMT" w:hAnsi="TimesNewRomanPSMT" w:cs="TimesNewRomanPSMT"/>
          <w:sz w:val="18"/>
          <w:szCs w:val="18"/>
        </w:rPr>
        <w:t>, 304-328.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Smith, J., &amp; Clurman, A. (1998).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Rocking the ages, the Yankelovich report on generational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marketing</w:t>
      </w:r>
      <w:r>
        <w:rPr>
          <w:rFonts w:ascii="TimesNewRomanPSMT" w:hAnsi="TimesNewRomanPSMT" w:cs="TimesNewRomanPSMT"/>
          <w:sz w:val="18"/>
          <w:szCs w:val="18"/>
        </w:rPr>
        <w:t>. New York, NY: Harper Collins.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Tapscott, D. (2009).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Grown up digital: How the Net generation is changing your world</w:t>
      </w:r>
      <w:r>
        <w:rPr>
          <w:rFonts w:ascii="TimesNewRomanPSMT" w:hAnsi="TimesNewRomanPSMT" w:cs="TimesNewRomanPSMT"/>
          <w:sz w:val="18"/>
          <w:szCs w:val="18"/>
        </w:rPr>
        <w:t>. New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York, NY: McGraw-Hill.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lastRenderedPageBreak/>
        <w:t xml:space="preserve">Taylor, M. (2010). Teaching Generation NeXt: A pedagogy for today’s learners. In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2010 Collection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 xml:space="preserve">of papers on self-study and institutional improvement </w:t>
      </w:r>
      <w:r>
        <w:rPr>
          <w:rFonts w:ascii="TimesNewRomanPSMT" w:hAnsi="TimesNewRomanPSMT" w:cs="TimesNewRomanPSMT"/>
          <w:sz w:val="18"/>
          <w:szCs w:val="18"/>
        </w:rPr>
        <w:t>(pp. 192-196). Chicago, IL: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Higher Learning Commission. Retrieved from www.taylorprograms.com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Trzesniewski, K. H., &amp; Donnellan, M. B. (2012). Rethinking “Generation Me”: A study of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cohort effects from 1976-2006.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Perspectives on Psychological Science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5</w:t>
      </w:r>
      <w:r>
        <w:rPr>
          <w:rFonts w:ascii="TimesNewRomanPSMT" w:hAnsi="TimesNewRomanPSMT" w:cs="TimesNewRomanPSMT"/>
          <w:sz w:val="18"/>
          <w:szCs w:val="18"/>
        </w:rPr>
        <w:t>, 58-75.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Tulgan, B. (2009).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Not everyone gets a trophy: How to manage Generation Y</w:t>
      </w:r>
      <w:r>
        <w:rPr>
          <w:rFonts w:ascii="TimesNewRomanPSMT" w:hAnsi="TimesNewRomanPSMT" w:cs="TimesNewRomanPSMT"/>
          <w:sz w:val="18"/>
          <w:szCs w:val="18"/>
        </w:rPr>
        <w:t>. San Francisco,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CA: Jossey-Bass.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Twenge, J. M., Campbell, S. M., Hoffman, B. J., &amp; Lance, C. E. (2010). Generational differences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in work values: Leisure and extrinsic values increasing, social and intrinsic values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decreasing.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Journal of Management</w:t>
      </w:r>
      <w:r>
        <w:rPr>
          <w:rFonts w:ascii="TimesNewRomanPSMT" w:hAnsi="TimesNewRomanPSMT" w:cs="TimesNewRomanPSMT"/>
          <w:sz w:val="18"/>
          <w:szCs w:val="18"/>
        </w:rPr>
        <w:t xml:space="preserve">,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36</w:t>
      </w:r>
      <w:r>
        <w:rPr>
          <w:rFonts w:ascii="TimesNewRomanPSMT" w:hAnsi="TimesNewRomanPSMT" w:cs="TimesNewRomanPSMT"/>
          <w:sz w:val="18"/>
          <w:szCs w:val="18"/>
        </w:rPr>
        <w:t>, 1117-1142.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Werth, E. P., &amp; Werth, L. (2011). Effective training for Millennial students.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Adult Learning</w:t>
      </w:r>
      <w:r>
        <w:rPr>
          <w:rFonts w:ascii="TimesNewRomanPSMT" w:hAnsi="TimesNewRomanPSMT" w:cs="TimesNewRomanPSMT"/>
          <w:sz w:val="18"/>
          <w:szCs w:val="18"/>
        </w:rPr>
        <w:t>,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22</w:t>
      </w:r>
      <w:r>
        <w:rPr>
          <w:rFonts w:ascii="TimesNewRomanPSMT" w:hAnsi="TimesNewRomanPSMT" w:cs="TimesNewRomanPSMT"/>
          <w:sz w:val="18"/>
          <w:szCs w:val="18"/>
        </w:rPr>
        <w:t>, 12-19.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Williams, R. (2010, January 4). </w:t>
      </w: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Employee engagement: Define it, measure it, and put it to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ItalicMT" w:hAnsi="TimesNewRomanPS-ItalicMT" w:cs="TimesNewRomanPS-ItalicMT"/>
          <w:i/>
          <w:iCs/>
          <w:sz w:val="18"/>
          <w:szCs w:val="18"/>
        </w:rPr>
        <w:t>work in your organization</w:t>
      </w:r>
      <w:r>
        <w:rPr>
          <w:rFonts w:ascii="TimesNewRomanPSMT" w:hAnsi="TimesNewRomanPSMT" w:cs="TimesNewRomanPSMT"/>
          <w:sz w:val="18"/>
          <w:szCs w:val="18"/>
        </w:rPr>
        <w:t>. Retrieved from http://www.workforce.com/article/20100104/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NEWS02/301049987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sz w:val="20"/>
          <w:szCs w:val="20"/>
        </w:rPr>
      </w:pPr>
      <w:r>
        <w:rPr>
          <w:rFonts w:ascii="GillSansStd-Bold" w:hAnsi="GillSansStd-Bold" w:cs="GillSansStd-Bold"/>
          <w:b/>
          <w:bCs/>
          <w:sz w:val="20"/>
          <w:szCs w:val="20"/>
        </w:rPr>
        <w:t>Bio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-BoldMT" w:hAnsi="TimesNewRomanPS-BoldMT" w:cs="TimesNewRomanPS-BoldMT"/>
          <w:b/>
          <w:bCs/>
          <w:sz w:val="18"/>
          <w:szCs w:val="18"/>
        </w:rPr>
        <w:t xml:space="preserve">Nancy M. Schullery </w:t>
      </w:r>
      <w:r>
        <w:rPr>
          <w:rFonts w:ascii="TimesNewRomanPSMT" w:hAnsi="TimesNewRomanPSMT" w:cs="TimesNewRomanPSMT"/>
          <w:sz w:val="18"/>
          <w:szCs w:val="18"/>
        </w:rPr>
        <w:t>is a professor in the Department of Business Information Systems at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Western Michigan University, where she has taught business communication, organizational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communication, and global business. Her industry experience led to research interests that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include collaboration in groups, personality traits and preferences, and the scholarship of teaching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and learning.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Copyright of Business Communication Quarterly is the property of Association for Business Communication</w:t>
      </w:r>
    </w:p>
    <w:p w:rsidR="00830B09" w:rsidRDefault="00830B09" w:rsidP="0083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its content may not be copied or emailed to multiple sites or posted to a listserv without the copyright</w:t>
      </w:r>
    </w:p>
    <w:p w:rsidR="007E0C50" w:rsidRDefault="00830B09" w:rsidP="00830B09">
      <w:r>
        <w:rPr>
          <w:rFonts w:ascii="Times New Roman" w:hAnsi="Times New Roman" w:cs="Times New Roman"/>
          <w:sz w:val="24"/>
          <w:szCs w:val="24"/>
        </w:rPr>
        <w:t>holder's express written permission. However, users may print, download, or email articles for individual use</w:t>
      </w:r>
      <w:bookmarkStart w:id="0" w:name="_GoBack"/>
      <w:bookmarkEnd w:id="0"/>
    </w:p>
    <w:sectPr w:rsidR="007E0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illSans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Sans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illSansSt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B09"/>
    <w:rsid w:val="007E0C50"/>
    <w:rsid w:val="0083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AD4743-6338-46EE-8FCB-274E9E6F1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6660</Words>
  <Characters>37968</Characters>
  <Application>Microsoft Office Word</Application>
  <DocSecurity>0</DocSecurity>
  <Lines>316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2018-01-11T13:23:00Z</dcterms:created>
  <dcterms:modified xsi:type="dcterms:W3CDTF">2018-01-11T13:24:00Z</dcterms:modified>
</cp:coreProperties>
</file>